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4A" w:rsidRDefault="00737684" w:rsidP="00737684">
      <w:pPr>
        <w:widowControl w:val="0"/>
        <w:pBdr>
          <w:top w:val="nil"/>
          <w:left w:val="nil"/>
          <w:bottom w:val="nil"/>
          <w:right w:val="nil"/>
          <w:between w:val="nil"/>
        </w:pBdr>
        <w:spacing w:before="551"/>
        <w:ind w:left="720" w:right="479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Estimado/a Miembro de la Familia,</w:t>
      </w:r>
    </w:p>
    <w:p w:rsidR="0009524A" w:rsidRDefault="001362F1" w:rsidP="00737684">
      <w:pPr>
        <w:widowControl w:val="0"/>
        <w:pBdr>
          <w:top w:val="nil"/>
          <w:left w:val="nil"/>
          <w:bottom w:val="nil"/>
          <w:right w:val="nil"/>
          <w:between w:val="nil"/>
        </w:pBdr>
        <w:spacing w:before="393" w:line="240" w:lineRule="auto"/>
        <w:ind w:left="720" w:right="4276"/>
        <w:jc w:val="both"/>
        <w:rPr>
          <w:rFonts w:ascii="Times New Roman" w:eastAsia="Times New Roman" w:hAnsi="Times New Roman" w:cs="Times New Roman"/>
          <w:color w:val="231F20"/>
        </w:rPr>
      </w:pPr>
      <w:r>
        <w:rPr>
          <w:rFonts w:ascii="Times New Roman" w:eastAsia="Times New Roman" w:hAnsi="Times New Roman" w:cs="Times New Roman"/>
          <w:color w:val="231F20"/>
        </w:rPr>
        <w:t>¡Bienvenido/a al comienzo del nuevo ciclo escolar!</w:t>
      </w:r>
    </w:p>
    <w:p w:rsidR="0009524A" w:rsidRDefault="0009524A">
      <w:pPr>
        <w:spacing w:line="240" w:lineRule="auto"/>
        <w:ind w:firstLine="720"/>
        <w:jc w:val="both"/>
        <w:rPr>
          <w:rFonts w:ascii="Times New Roman" w:eastAsia="Times New Roman" w:hAnsi="Times New Roman" w:cs="Times New Roman"/>
        </w:rPr>
      </w:pPr>
    </w:p>
    <w:p w:rsidR="0009524A" w:rsidRDefault="001362F1">
      <w:pPr>
        <w:spacing w:line="240" w:lineRule="auto"/>
        <w:ind w:left="7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Este año, las Escuelas Públicas del Condado de Montgomery (MCPS) completarán la implementación de los programas Benchmark Advance y Benchmark Adelante en inglés y español de lectura/artes del lenguaje de la compañía Benchmark Education en todas las escuelas elementales. Son programas integrales de Lectura/Artes del Lenguaje para Kindergarten y hasta el Quinto grado, desarrollados específicamente para satisfacer las demandas de los estándares de la actualidad. </w:t>
      </w:r>
    </w:p>
    <w:p w:rsidR="0009524A" w:rsidRDefault="0009524A" w:rsidP="00737684">
      <w:pPr>
        <w:spacing w:line="240" w:lineRule="auto"/>
        <w:ind w:left="720"/>
        <w:jc w:val="both"/>
        <w:rPr>
          <w:rFonts w:ascii="Times New Roman" w:eastAsia="Times New Roman" w:hAnsi="Times New Roman" w:cs="Times New Roman"/>
          <w:color w:val="231F20"/>
        </w:rPr>
      </w:pPr>
    </w:p>
    <w:p w:rsidR="0009524A" w:rsidRDefault="001362F1">
      <w:pPr>
        <w:spacing w:line="240" w:lineRule="auto"/>
        <w:ind w:left="720"/>
        <w:jc w:val="both"/>
        <w:rPr>
          <w:rFonts w:ascii="Times New Roman" w:eastAsia="Times New Roman" w:hAnsi="Times New Roman" w:cs="Times New Roman"/>
          <w:color w:val="231F20"/>
        </w:rPr>
      </w:pPr>
      <w:r>
        <w:rPr>
          <w:rFonts w:ascii="Times New Roman" w:eastAsia="Times New Roman" w:hAnsi="Times New Roman" w:cs="Times New Roman"/>
        </w:rPr>
        <w:t xml:space="preserve">Estos programas tratan los cambios clave de currículum e instrucción para satisfacer las demandas de los Estándares de Preparación para la Universidad y Carreras de Maryland (Maryland College and Career Readiness Standards). </w:t>
      </w:r>
      <w:r>
        <w:rPr>
          <w:rFonts w:ascii="Times New Roman" w:eastAsia="Times New Roman" w:hAnsi="Times New Roman" w:cs="Times New Roman"/>
          <w:color w:val="231F20"/>
        </w:rPr>
        <w:t xml:space="preserve">Estos estándares requieren que los estudiantes trabajen con textos más rigurosos y complejos, así como que profundicen más en la interpretación del texto. Esto  ha conducido a MCPS a buscar e implementar un programa más entretenido, interactivo y moderno. </w:t>
      </w:r>
    </w:p>
    <w:p w:rsidR="0009524A" w:rsidRDefault="001362F1">
      <w:pPr>
        <w:widowControl w:val="0"/>
        <w:pBdr>
          <w:top w:val="nil"/>
          <w:left w:val="nil"/>
          <w:bottom w:val="nil"/>
          <w:right w:val="nil"/>
          <w:between w:val="nil"/>
        </w:pBdr>
        <w:spacing w:before="216" w:line="240" w:lineRule="auto"/>
        <w:ind w:left="590" w:right="4017" w:firstLine="129"/>
        <w:jc w:val="both"/>
        <w:rPr>
          <w:rFonts w:ascii="Times New Roman" w:eastAsia="Times New Roman" w:hAnsi="Times New Roman" w:cs="Times New Roman"/>
          <w:i/>
          <w:color w:val="231F20"/>
        </w:rPr>
      </w:pPr>
      <w:r>
        <w:rPr>
          <w:rFonts w:ascii="Times New Roman" w:eastAsia="Times New Roman" w:hAnsi="Times New Roman" w:cs="Times New Roman"/>
          <w:i/>
          <w:color w:val="231F20"/>
        </w:rPr>
        <w:t>A ver... ¿qué tiene de diferente Benchmark Advance?</w:t>
      </w:r>
    </w:p>
    <w:p w:rsidR="0009524A" w:rsidRDefault="001362F1">
      <w:pPr>
        <w:widowControl w:val="0"/>
        <w:pBdr>
          <w:top w:val="nil"/>
          <w:left w:val="nil"/>
          <w:bottom w:val="nil"/>
          <w:right w:val="nil"/>
          <w:between w:val="nil"/>
        </w:pBdr>
        <w:spacing w:before="220" w:line="240" w:lineRule="auto"/>
        <w:ind w:left="590" w:right="3964" w:firstLine="129"/>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La diferencia más notable: el libro de textos de lectura. </w:t>
      </w:r>
    </w:p>
    <w:p w:rsidR="0009524A" w:rsidRDefault="001362F1">
      <w:pPr>
        <w:widowControl w:val="0"/>
        <w:pBdr>
          <w:top w:val="nil"/>
          <w:left w:val="nil"/>
          <w:bottom w:val="nil"/>
          <w:right w:val="nil"/>
          <w:between w:val="nil"/>
        </w:pBdr>
        <w:spacing w:before="220" w:line="240" w:lineRule="auto"/>
        <w:ind w:left="720" w:right="8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Los libros básicos de los estudiantes tienen textos livianos y fáciles de manipular, como los de las revistas. Estos libros están diseñados para que los estudiantes interactúen con la lectura escribiendo sobre la página y anotando en el texto. </w:t>
      </w:r>
    </w:p>
    <w:p w:rsidR="0009524A" w:rsidRDefault="001362F1">
      <w:pPr>
        <w:widowControl w:val="0"/>
        <w:pBdr>
          <w:top w:val="nil"/>
          <w:left w:val="nil"/>
          <w:bottom w:val="nil"/>
          <w:right w:val="nil"/>
          <w:between w:val="nil"/>
        </w:pBdr>
        <w:spacing w:before="220" w:line="240" w:lineRule="auto"/>
        <w:ind w:left="590" w:right="2342" w:firstLine="129"/>
        <w:jc w:val="both"/>
        <w:rPr>
          <w:rFonts w:ascii="Times New Roman" w:eastAsia="Times New Roman" w:hAnsi="Times New Roman" w:cs="Times New Roman"/>
          <w:i/>
          <w:color w:val="231F20"/>
        </w:rPr>
      </w:pPr>
      <w:r>
        <w:rPr>
          <w:rFonts w:ascii="Times New Roman" w:eastAsia="Times New Roman" w:hAnsi="Times New Roman" w:cs="Times New Roman"/>
          <w:i/>
          <w:color w:val="231F20"/>
        </w:rPr>
        <w:t xml:space="preserve">Pero, un momento... ¿significa eso que mi estudiante puede escribir en sus libros? </w:t>
      </w:r>
    </w:p>
    <w:p w:rsidR="0009524A" w:rsidRDefault="001362F1">
      <w:pPr>
        <w:widowControl w:val="0"/>
        <w:pBdr>
          <w:top w:val="nil"/>
          <w:left w:val="nil"/>
          <w:bottom w:val="nil"/>
          <w:right w:val="nil"/>
          <w:between w:val="nil"/>
        </w:pBdr>
        <w:spacing w:before="216" w:line="240" w:lineRule="auto"/>
        <w:ind w:left="720" w:right="892"/>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¡Sí! ¡No sólo se les permite a los estudiantes escribir en sus libros, sino que deberían hacerlo! Hacer anotaciones motiva a los estudiantes a apropiarse del texto y profundizar más en el contenido, lo cual mejora la comprensión. Se supone que cada libro se use por sólo una unidad de instrucción. Las anotaciones de su estudiante le permitirán a usted ver exactamente como él/ella está interpretando y trabajando con la lectura. </w:t>
      </w:r>
    </w:p>
    <w:p w:rsidR="0009524A" w:rsidRDefault="001362F1">
      <w:pPr>
        <w:widowControl w:val="0"/>
        <w:pBdr>
          <w:top w:val="nil"/>
          <w:left w:val="nil"/>
          <w:bottom w:val="nil"/>
          <w:right w:val="nil"/>
          <w:between w:val="nil"/>
        </w:pBdr>
        <w:spacing w:before="220" w:line="240" w:lineRule="auto"/>
        <w:ind w:left="720" w:right="60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A medida que su estudiante trabaja en cada unidad, usted notará que toda la lectura se centra en un tema. Estos temas incluyen contenido de estudios sociales y ciencias, así como temas literarios tales como punto de vista, temática y personaje. Al inicio de cada unidad, usted recibirá una carta de la escuela que le proveerá actividades adicionales que usted puede hacer con su estudiante en su casa. Estas actividades conectan al tema de la unidad, así como al vocabulario, comprensión y fonética/destrezas de estudio de palabras que se enseñan durante la unidad. </w:t>
      </w:r>
    </w:p>
    <w:p w:rsidR="0009524A" w:rsidRDefault="001362F1">
      <w:pPr>
        <w:widowControl w:val="0"/>
        <w:pBdr>
          <w:top w:val="nil"/>
          <w:left w:val="nil"/>
          <w:bottom w:val="nil"/>
          <w:right w:val="nil"/>
          <w:between w:val="nil"/>
        </w:pBdr>
        <w:spacing w:before="220" w:line="240" w:lineRule="auto"/>
        <w:ind w:left="720" w:right="600"/>
        <w:jc w:val="both"/>
        <w:rPr>
          <w:rFonts w:ascii="Times New Roman" w:eastAsia="Times New Roman" w:hAnsi="Times New Roman" w:cs="Times New Roman"/>
        </w:rPr>
      </w:pPr>
      <w:r>
        <w:rPr>
          <w:rFonts w:ascii="Times New Roman" w:eastAsia="Times New Roman" w:hAnsi="Times New Roman" w:cs="Times New Roman"/>
        </w:rPr>
        <w:t xml:space="preserve">Los estudiantes continuarán recibiendo instrucción en grupo pequeño para brindarles apoyo con los textos del nivel de grado, así como textos de lectura en sus niveles de instrucción en lectura. La instrucción en lectura incluirá lecciones que apoyan el proceso de escritura y escritura en respuesta a la lectura. Los estudiantes trabajarán regularmente en el estudio de palabras, incluyendo fonética, deletreo y vocabulario a través de la lectura y la escritura. </w:t>
      </w:r>
    </w:p>
    <w:p w:rsidR="0009524A" w:rsidRDefault="001362F1">
      <w:pPr>
        <w:widowControl w:val="0"/>
        <w:pBdr>
          <w:top w:val="nil"/>
          <w:left w:val="nil"/>
          <w:bottom w:val="nil"/>
          <w:right w:val="nil"/>
          <w:between w:val="nil"/>
        </w:pBdr>
        <w:spacing w:before="220" w:line="240" w:lineRule="auto"/>
        <w:ind w:left="720" w:right="60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Gracias por dedicar tiempo a leer esta carta. ¡Espero ansiosamente usar </w:t>
      </w:r>
      <w:r>
        <w:rPr>
          <w:rFonts w:ascii="Times New Roman" w:eastAsia="Times New Roman" w:hAnsi="Times New Roman" w:cs="Times New Roman"/>
          <w:i/>
          <w:color w:val="231F20"/>
        </w:rPr>
        <w:t>Benchmark Advance</w:t>
      </w:r>
      <w:r>
        <w:rPr>
          <w:rFonts w:ascii="Times New Roman" w:eastAsia="Times New Roman" w:hAnsi="Times New Roman" w:cs="Times New Roman"/>
          <w:color w:val="231F20"/>
        </w:rPr>
        <w:t xml:space="preserve"> con su estudiante y trabajar con usted para asegurar un ciclo académico exitoso!</w:t>
      </w:r>
    </w:p>
    <w:p w:rsidR="00737684" w:rsidRDefault="00737684">
      <w:pPr>
        <w:widowControl w:val="0"/>
        <w:pBdr>
          <w:top w:val="nil"/>
          <w:left w:val="nil"/>
          <w:bottom w:val="nil"/>
          <w:right w:val="nil"/>
          <w:between w:val="nil"/>
        </w:pBdr>
        <w:spacing w:before="220" w:line="240" w:lineRule="auto"/>
        <w:ind w:left="720" w:right="600"/>
        <w:jc w:val="both"/>
        <w:rPr>
          <w:rFonts w:ascii="Times New Roman" w:eastAsia="Times New Roman" w:hAnsi="Times New Roman" w:cs="Times New Roman"/>
          <w:color w:val="231F20"/>
        </w:rPr>
      </w:pPr>
    </w:p>
    <w:sectPr w:rsidR="00737684">
      <w:headerReference w:type="default" r:id="rId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A67" w:rsidRDefault="001362F1">
      <w:pPr>
        <w:spacing w:line="240" w:lineRule="auto"/>
      </w:pPr>
      <w:r>
        <w:separator/>
      </w:r>
    </w:p>
  </w:endnote>
  <w:endnote w:type="continuationSeparator" w:id="0">
    <w:p w:rsidR="00375A67" w:rsidRDefault="00136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A67" w:rsidRDefault="001362F1">
      <w:pPr>
        <w:spacing w:line="240" w:lineRule="auto"/>
      </w:pPr>
      <w:r>
        <w:separator/>
      </w:r>
    </w:p>
  </w:footnote>
  <w:footnote w:type="continuationSeparator" w:id="0">
    <w:p w:rsidR="00375A67" w:rsidRDefault="001362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24A" w:rsidRDefault="001362F1">
    <w:pPr>
      <w:spacing w:before="551"/>
      <w:ind w:left="590" w:right="4790"/>
      <w:jc w:val="both"/>
    </w:pPr>
    <w:r>
      <w:rPr>
        <w:rFonts w:ascii="Century Gothic" w:eastAsia="Century Gothic" w:hAnsi="Century Gothic" w:cs="Century Gothic"/>
        <w:noProof/>
        <w:color w:val="D22027"/>
        <w:sz w:val="28"/>
        <w:szCs w:val="28"/>
      </w:rPr>
      <w:drawing>
        <wp:inline distT="114300" distB="114300" distL="114300" distR="114300">
          <wp:extent cx="2157413" cy="7283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7413" cy="72835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4A"/>
    <w:rsid w:val="0009524A"/>
    <w:rsid w:val="001362F1"/>
    <w:rsid w:val="002D7EB5"/>
    <w:rsid w:val="00375A67"/>
    <w:rsid w:val="00737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74D19-E439-4D27-A3F1-29BE2F27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Tecler, Lori</dc:creator>
  <cp:lastModifiedBy>Campos, Maria E</cp:lastModifiedBy>
  <cp:revision>2</cp:revision>
  <dcterms:created xsi:type="dcterms:W3CDTF">2020-08-31T20:18:00Z</dcterms:created>
  <dcterms:modified xsi:type="dcterms:W3CDTF">2020-08-31T20:18:00Z</dcterms:modified>
</cp:coreProperties>
</file>