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sz w:val="28"/>
          <w:szCs w:val="28"/>
          <w:u w:val="single"/>
        </w:rPr>
      </w:pPr>
      <w:r w:rsidDel="00000000" w:rsidR="00000000" w:rsidRPr="00000000">
        <w:rPr>
          <w:rFonts w:ascii="Century Gothic" w:cs="Century Gothic" w:eastAsia="Century Gothic" w:hAnsi="Century Gothic"/>
          <w:b w:val="1"/>
          <w:sz w:val="28"/>
          <w:szCs w:val="28"/>
          <w:u w:val="single"/>
          <w:rtl w:val="0"/>
        </w:rPr>
        <w:t xml:space="preserve">Technology Tools</w:t>
      </w:r>
    </w:p>
    <w:p w:rsidR="00000000" w:rsidDel="00000000" w:rsidP="00000000" w:rsidRDefault="00000000" w:rsidRPr="00000000" w14:paraId="00000001">
      <w:pPr>
        <w:contextualSpacing w:val="0"/>
        <w:jc w:val="center"/>
        <w:rPr>
          <w:rFonts w:ascii="Century Gothic" w:cs="Century Gothic" w:eastAsia="Century Gothic" w:hAnsi="Century Gothic"/>
          <w:b w:val="1"/>
          <w:sz w:val="28"/>
          <w:szCs w:val="28"/>
          <w:u w:val="single"/>
        </w:rPr>
      </w:pPr>
      <w:r w:rsidDel="00000000" w:rsidR="00000000" w:rsidRPr="00000000">
        <w:rPr>
          <w:rtl w:val="0"/>
        </w:rPr>
      </w:r>
    </w:p>
    <w:p w:rsidR="00000000" w:rsidDel="00000000" w:rsidP="00000000" w:rsidRDefault="00000000" w:rsidRPr="00000000" w14:paraId="00000002">
      <w:pPr>
        <w:numPr>
          <w:ilvl w:val="0"/>
          <w:numId w:val="1"/>
        </w:numPr>
        <w:spacing w:line="360" w:lineRule="auto"/>
        <w:ind w:left="72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Pr>
        <w:drawing>
          <wp:inline distB="114300" distT="114300" distL="114300" distR="114300">
            <wp:extent cx="1592069" cy="366713"/>
            <wp:effectExtent b="0" l="0" r="0" t="0"/>
            <wp:docPr id="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92069" cy="366713"/>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--you can visit the site or add it to your google account as an extension. It offers you the ability to administer multiple choice questions, create a word cloud, survey, Q and A among other items. For more info, click </w:t>
      </w:r>
      <w:hyperlink r:id="rId7">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 for a 15 minute tutorial. </w:t>
      </w:r>
    </w:p>
    <w:p w:rsidR="00000000" w:rsidDel="00000000" w:rsidP="00000000" w:rsidRDefault="00000000" w:rsidRPr="00000000" w14:paraId="00000003">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850431" cy="385763"/>
            <wp:effectExtent b="0" l="0" r="0" t="0"/>
            <wp:docPr id="8"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850431" cy="385763"/>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--visit </w:t>
      </w:r>
      <w:hyperlink r:id="rId9">
        <w:r w:rsidDel="00000000" w:rsidR="00000000" w:rsidRPr="00000000">
          <w:rPr>
            <w:rFonts w:ascii="Century Gothic" w:cs="Century Gothic" w:eastAsia="Century Gothic" w:hAnsi="Century Gothic"/>
            <w:color w:val="1155cc"/>
            <w:sz w:val="24"/>
            <w:szCs w:val="24"/>
            <w:u w:val="single"/>
            <w:rtl w:val="0"/>
          </w:rPr>
          <w:t xml:space="preserve">quizizz.com </w:t>
        </w:r>
      </w:hyperlink>
      <w:r w:rsidDel="00000000" w:rsidR="00000000" w:rsidRPr="00000000">
        <w:rPr>
          <w:rFonts w:ascii="Century Gothic" w:cs="Century Gothic" w:eastAsia="Century Gothic" w:hAnsi="Century Gothic"/>
          <w:sz w:val="24"/>
          <w:szCs w:val="24"/>
          <w:rtl w:val="0"/>
        </w:rPr>
        <w:t xml:space="preserve">and register for free using your MCPS google account. It’s a quick way to collect data and have students routinely check their own understanding at home. The settings provide a variety of options with pacing, itemization, music, etc. Student can also access your assignments from home as a homework. For more info, click </w:t>
      </w:r>
      <w:hyperlink r:id="rId10">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 for a 15 minute tutorial. </w:t>
      </w:r>
    </w:p>
    <w:p w:rsidR="00000000" w:rsidDel="00000000" w:rsidP="00000000" w:rsidRDefault="00000000" w:rsidRPr="00000000" w14:paraId="00000004">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947738" cy="297172"/>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47738" cy="297172"/>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--an upgrade to wordle. “</w:t>
      </w:r>
      <w:r w:rsidDel="00000000" w:rsidR="00000000" w:rsidRPr="00000000">
        <w:rPr>
          <w:rFonts w:ascii="Century Gothic" w:cs="Century Gothic" w:eastAsia="Century Gothic" w:hAnsi="Century Gothic"/>
          <w:sz w:val="24"/>
          <w:szCs w:val="24"/>
          <w:highlight w:val="white"/>
          <w:rtl w:val="0"/>
        </w:rPr>
        <w:t xml:space="preserve">People typically use word clouds to easily produce a summary of large documents (reports, speeches), to create art on a topic (gifts, displays) or to visualise data (tables, surveys).” Simple to pick up, hence no tutorial necessary. </w:t>
      </w: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641372" cy="538163"/>
            <wp:effectExtent b="0" l="0" r="0" t="0"/>
            <wp:docPr id="11"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641372" cy="538163"/>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--a creative and engaging way to assess students with project based learning. This </w:t>
      </w:r>
      <w:hyperlink r:id="rId13">
        <w:r w:rsidDel="00000000" w:rsidR="00000000" w:rsidRPr="00000000">
          <w:rPr>
            <w:rFonts w:ascii="Century Gothic" w:cs="Century Gothic" w:eastAsia="Century Gothic" w:hAnsi="Century Gothic"/>
            <w:color w:val="1155cc"/>
            <w:sz w:val="24"/>
            <w:szCs w:val="24"/>
            <w:u w:val="single"/>
            <w:rtl w:val="0"/>
          </w:rPr>
          <w:t xml:space="preserve">site</w:t>
        </w:r>
      </w:hyperlink>
      <w:r w:rsidDel="00000000" w:rsidR="00000000" w:rsidRPr="00000000">
        <w:rPr>
          <w:rFonts w:ascii="Century Gothic" w:cs="Century Gothic" w:eastAsia="Century Gothic" w:hAnsi="Century Gothic"/>
          <w:sz w:val="24"/>
          <w:szCs w:val="24"/>
          <w:rtl w:val="0"/>
        </w:rPr>
        <w:t xml:space="preserve"> creates infographics to captures key areas of learning set up by the teacher. Free to sign up with your MCPS Google Account. For more info, click </w:t>
      </w:r>
      <w:hyperlink r:id="rId14">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 for a 15 minute tutorial. </w:t>
      </w:r>
    </w:p>
    <w:p w:rsidR="00000000" w:rsidDel="00000000" w:rsidP="00000000" w:rsidRDefault="00000000" w:rsidRPr="00000000" w14:paraId="00000006">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1123950" cy="690563"/>
            <wp:effectExtent b="0" l="0" r="0" t="0"/>
            <wp:docPr id="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123950" cy="690563"/>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--a user-friendly video platform that promotes oral, academic discourse. You can visit the site or add it to your google account as an extension. For more info, click </w:t>
      </w:r>
      <w:hyperlink r:id="rId16">
        <w:r w:rsidDel="00000000" w:rsidR="00000000" w:rsidRPr="00000000">
          <w:rPr>
            <w:rFonts w:ascii="Century Gothic" w:cs="Century Gothic" w:eastAsia="Century Gothic" w:hAnsi="Century Gothic"/>
            <w:color w:val="1155cc"/>
            <w:sz w:val="24"/>
            <w:szCs w:val="24"/>
            <w:u w:val="single"/>
            <w:rtl w:val="0"/>
          </w:rPr>
          <w:t xml:space="preserve">here </w:t>
        </w:r>
      </w:hyperlink>
      <w:r w:rsidDel="00000000" w:rsidR="00000000" w:rsidRPr="00000000">
        <w:rPr>
          <w:rFonts w:ascii="Century Gothic" w:cs="Century Gothic" w:eastAsia="Century Gothic" w:hAnsi="Century Gothic"/>
          <w:sz w:val="24"/>
          <w:szCs w:val="24"/>
          <w:rtl w:val="0"/>
        </w:rPr>
        <w:t xml:space="preserve">for a 1 minute overview and </w:t>
      </w:r>
      <w:hyperlink r:id="rId17">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 for a 2 minute tutorial. . </w:t>
      </w:r>
    </w:p>
    <w:p w:rsidR="00000000" w:rsidDel="00000000" w:rsidP="00000000" w:rsidRDefault="00000000" w:rsidRPr="00000000" w14:paraId="00000007">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2100263" cy="362696"/>
            <wp:effectExtent b="0" l="0" r="0" t="0"/>
            <wp:docPr id="5"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100263" cy="362696"/>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--a one stop shop for </w:t>
      </w:r>
      <w:hyperlink r:id="rId19">
        <w:r w:rsidDel="00000000" w:rsidR="00000000" w:rsidRPr="00000000">
          <w:rPr>
            <w:rFonts w:ascii="Century Gothic" w:cs="Century Gothic" w:eastAsia="Century Gothic" w:hAnsi="Century Gothic"/>
            <w:color w:val="1155cc"/>
            <w:sz w:val="24"/>
            <w:szCs w:val="24"/>
            <w:u w:val="single"/>
            <w:rtl w:val="0"/>
          </w:rPr>
          <w:t xml:space="preserve">student-centered formative ideas</w:t>
        </w:r>
      </w:hyperlink>
      <w:r w:rsidDel="00000000" w:rsidR="00000000" w:rsidRPr="00000000">
        <w:rPr>
          <w:rFonts w:ascii="Century Gothic" w:cs="Century Gothic" w:eastAsia="Century Gothic" w:hAnsi="Century Gothic"/>
          <w:sz w:val="24"/>
          <w:szCs w:val="24"/>
          <w:rtl w:val="0"/>
        </w:rPr>
        <w:t xml:space="preserve">. This website offers strategies, info and tutorials on apps, and directs you to other resources that will guide your planning and implementation of formatives.</w:t>
      </w:r>
    </w:p>
    <w:p w:rsidR="00000000" w:rsidDel="00000000" w:rsidP="00000000" w:rsidRDefault="00000000" w:rsidRPr="00000000" w14:paraId="00000008">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1425115" cy="395288"/>
            <wp:effectExtent b="0" l="0" r="0" t="0"/>
            <wp:docPr id="2"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1425115" cy="395288"/>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a creative website to not only incorporate equity calling but also provides a variety of options to create free games, activities, quizzes, and diagrams. You also have the capability of saving your class lists by saving it under a password of your choice. Click </w:t>
      </w:r>
      <w:hyperlink r:id="rId21">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 for direct access.</w:t>
      </w:r>
    </w:p>
    <w:p w:rsidR="00000000" w:rsidDel="00000000" w:rsidP="00000000" w:rsidRDefault="00000000" w:rsidRPr="00000000" w14:paraId="00000009">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2347913" cy="404813"/>
            <wp:effectExtent b="0" l="0" r="0" t="0"/>
            <wp:docPr id="1"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2347913" cy="404813"/>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Described as a Superteacher tool. The site can be used for grouping, seat arrangements, and equity calling. It can also be used to create interactive study games such as “Jeopardy” and “Who wants to be a Millionaire”. Direct access </w:t>
      </w:r>
      <w:hyperlink r:id="rId23">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 You will have to scroll down to access the variety of tools available. </w:t>
      </w:r>
    </w:p>
    <w:p w:rsidR="00000000" w:rsidDel="00000000" w:rsidP="00000000" w:rsidRDefault="00000000" w:rsidRPr="00000000" w14:paraId="0000000A">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1062038" cy="467891"/>
            <wp:effectExtent b="0" l="0" r="0" t="0"/>
            <wp:docPr id="7"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1062038" cy="467891"/>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Just another creative way to promote equity calling. Once in the site, click on the blue/white arrow, which will take you to the box where you can type in names and or copy and paste names. Click </w:t>
      </w:r>
      <w:hyperlink r:id="rId25">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 for direct access.</w:t>
      </w:r>
    </w:p>
    <w:p w:rsidR="00000000" w:rsidDel="00000000" w:rsidP="00000000" w:rsidRDefault="00000000" w:rsidRPr="00000000" w14:paraId="0000000B">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2890838" cy="477303"/>
            <wp:effectExtent b="0" l="0" r="0" t="0"/>
            <wp:docPr id="4"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2890838" cy="477303"/>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Another interactive tool to randomly select students and group them. Students can be selected with the use of “random caricatures, names in a hat, numeric pairs, etc. Your list can be saved and repeatedly accessed. When grouping, you will have the option to use your list of names with the ability to create up to 10 separate student groups. This feature can be found midway down, on the left side of the site. Click </w:t>
      </w:r>
      <w:hyperlink r:id="rId27">
        <w:r w:rsidDel="00000000" w:rsidR="00000000" w:rsidRPr="00000000">
          <w:rPr>
            <w:rFonts w:ascii="Century Gothic" w:cs="Century Gothic" w:eastAsia="Century Gothic" w:hAnsi="Century Gothic"/>
            <w:color w:val="1155cc"/>
            <w:sz w:val="24"/>
            <w:szCs w:val="24"/>
            <w:u w:val="single"/>
            <w:rtl w:val="0"/>
          </w:rPr>
          <w:t xml:space="preserve">here </w:t>
        </w:r>
      </w:hyperlink>
      <w:r w:rsidDel="00000000" w:rsidR="00000000" w:rsidRPr="00000000">
        <w:rPr>
          <w:rFonts w:ascii="Century Gothic" w:cs="Century Gothic" w:eastAsia="Century Gothic" w:hAnsi="Century Gothic"/>
          <w:sz w:val="24"/>
          <w:szCs w:val="24"/>
          <w:rtl w:val="0"/>
        </w:rPr>
        <w:t xml:space="preserve">for direct access. </w:t>
      </w:r>
    </w:p>
    <w:p w:rsidR="00000000" w:rsidDel="00000000" w:rsidP="00000000" w:rsidRDefault="00000000" w:rsidRPr="00000000" w14:paraId="0000000C">
      <w:pPr>
        <w:numPr>
          <w:ilvl w:val="0"/>
          <w:numId w:val="1"/>
        </w:numPr>
        <w:spacing w:line="36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Pr>
        <w:drawing>
          <wp:inline distB="114300" distT="114300" distL="114300" distR="114300">
            <wp:extent cx="1152525" cy="438150"/>
            <wp:effectExtent b="0" l="0" r="0" t="0"/>
            <wp:docPr id="10"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1152525" cy="438150"/>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a site and app intended to build positive classroom culture. Extremely interactive and a simple way to communicate with parents and students about their general progress and/or performance. The tool can also be used to set up and give incentives. Click </w:t>
      </w:r>
      <w:hyperlink r:id="rId29">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 for a 1.5 minute informational. Direct access </w:t>
      </w:r>
      <w:hyperlink r:id="rId30">
        <w:r w:rsidDel="00000000" w:rsidR="00000000" w:rsidRPr="00000000">
          <w:rPr>
            <w:rFonts w:ascii="Century Gothic" w:cs="Century Gothic" w:eastAsia="Century Gothic" w:hAnsi="Century Gothic"/>
            <w:color w:val="1155cc"/>
            <w:sz w:val="24"/>
            <w:szCs w:val="24"/>
            <w:u w:val="single"/>
            <w:rtl w:val="0"/>
          </w:rPr>
          <w:t xml:space="preserve">here </w:t>
        </w:r>
      </w:hyperlink>
      <w:r w:rsidDel="00000000" w:rsidR="00000000" w:rsidRPr="00000000">
        <w:rPr>
          <w:rFonts w:ascii="Century Gothic" w:cs="Century Gothic" w:eastAsia="Century Gothic" w:hAnsi="Century Gothic"/>
          <w:sz w:val="24"/>
          <w:szCs w:val="24"/>
          <w:rtl w:val="0"/>
        </w:rPr>
        <w:t xml:space="preserve">and if you’d like to first, review a brief tutorial, click </w:t>
      </w:r>
      <w:hyperlink r:id="rId31">
        <w:r w:rsidDel="00000000" w:rsidR="00000000" w:rsidRPr="00000000">
          <w:rPr>
            <w:rFonts w:ascii="Century Gothic" w:cs="Century Gothic" w:eastAsia="Century Gothic" w:hAnsi="Century Gothic"/>
            <w:color w:val="1155cc"/>
            <w:sz w:val="24"/>
            <w:szCs w:val="24"/>
            <w:u w:val="single"/>
            <w:rtl w:val="0"/>
          </w:rPr>
          <w:t xml:space="preserve">here</w:t>
        </w:r>
      </w:hyperlink>
      <w:r w:rsidDel="00000000" w:rsidR="00000000" w:rsidRPr="00000000">
        <w:rPr>
          <w:rFonts w:ascii="Century Gothic" w:cs="Century Gothic" w:eastAsia="Century Gothic" w:hAnsi="Century Gothic"/>
          <w:sz w:val="24"/>
          <w:szCs w:val="24"/>
          <w:rtl w:val="0"/>
        </w:rPr>
        <w:t xml:space="preserve">.</w:t>
      </w:r>
    </w:p>
    <w:p w:rsidR="00000000" w:rsidDel="00000000" w:rsidP="00000000" w:rsidRDefault="00000000" w:rsidRPr="00000000" w14:paraId="0000000D">
      <w:pPr>
        <w:spacing w:line="360" w:lineRule="auto"/>
        <w:ind w:left="1440" w:firstLine="0"/>
        <w:contextualSpacing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spacing w:line="360" w:lineRule="auto"/>
        <w:ind w:left="1440" w:firstLine="0"/>
        <w:contextualSpacing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spacing w:line="360" w:lineRule="auto"/>
        <w:ind w:left="0" w:firstLine="0"/>
        <w:contextualSpacing w:val="0"/>
        <w:rPr>
          <w:rFonts w:ascii="Century Gothic" w:cs="Century Gothic" w:eastAsia="Century Gothic" w:hAnsi="Century Gothic"/>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6.png"/><Relationship Id="rId21" Type="http://schemas.openxmlformats.org/officeDocument/2006/relationships/hyperlink" Target="http://www.classtools.net/" TargetMode="External"/><Relationship Id="rId24" Type="http://schemas.openxmlformats.org/officeDocument/2006/relationships/image" Target="media/image9.png"/><Relationship Id="rId23" Type="http://schemas.openxmlformats.org/officeDocument/2006/relationships/hyperlink" Target="https://www.superteachertools.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izizz.com/" TargetMode="External"/><Relationship Id="rId26" Type="http://schemas.openxmlformats.org/officeDocument/2006/relationships/image" Target="media/image3.png"/><Relationship Id="rId25" Type="http://schemas.openxmlformats.org/officeDocument/2006/relationships/hyperlink" Target="http://www.abcya.com/random_name_picker.htm" TargetMode="External"/><Relationship Id="rId28" Type="http://schemas.openxmlformats.org/officeDocument/2006/relationships/image" Target="media/image7.png"/><Relationship Id="rId27" Type="http://schemas.openxmlformats.org/officeDocument/2006/relationships/hyperlink" Target="http://www.transum.org/software/RandomStudents/Default.asp"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classdojo.com/#LearnMore" TargetMode="External"/><Relationship Id="rId7" Type="http://schemas.openxmlformats.org/officeDocument/2006/relationships/hyperlink" Target="https://www.youtube.com/watch?v=469WNkd_BqY" TargetMode="External"/><Relationship Id="rId8" Type="http://schemas.openxmlformats.org/officeDocument/2006/relationships/image" Target="media/image10.png"/><Relationship Id="rId31" Type="http://schemas.openxmlformats.org/officeDocument/2006/relationships/hyperlink" Target="https://www.youtube.com/watch?v=vgZOhrytzwQ" TargetMode="External"/><Relationship Id="rId30" Type="http://schemas.openxmlformats.org/officeDocument/2006/relationships/hyperlink" Target="https://www.classdojo.com/" TargetMode="External"/><Relationship Id="rId11" Type="http://schemas.openxmlformats.org/officeDocument/2006/relationships/image" Target="media/image4.png"/><Relationship Id="rId10" Type="http://schemas.openxmlformats.org/officeDocument/2006/relationships/hyperlink" Target="https://www.youtube.com/watch?v=B3X8RW7Fj18" TargetMode="External"/><Relationship Id="rId13" Type="http://schemas.openxmlformats.org/officeDocument/2006/relationships/hyperlink" Target="https://www.canva.com/create/infographics/" TargetMode="External"/><Relationship Id="rId12" Type="http://schemas.openxmlformats.org/officeDocument/2006/relationships/image" Target="media/image11.png"/><Relationship Id="rId15" Type="http://schemas.openxmlformats.org/officeDocument/2006/relationships/image" Target="media/image1.png"/><Relationship Id="rId14" Type="http://schemas.openxmlformats.org/officeDocument/2006/relationships/hyperlink" Target="https://www.youtube.com/watch?v=uUR6c5WS30g" TargetMode="External"/><Relationship Id="rId17" Type="http://schemas.openxmlformats.org/officeDocument/2006/relationships/hyperlink" Target="https://www.youtube.com/watch?v=5-lKKTtJc48" TargetMode="External"/><Relationship Id="rId16" Type="http://schemas.openxmlformats.org/officeDocument/2006/relationships/hyperlink" Target="https://www.youtube.com/watch?v=P3lz7adlRS8" TargetMode="External"/><Relationship Id="rId19" Type="http://schemas.openxmlformats.org/officeDocument/2006/relationships/hyperlink" Target="https://www.commonsense.org/education/teaching-strategies/student-centered-formative-assessment" TargetMode="External"/><Relationship Id="rId1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